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793F8" w14:textId="77777777" w:rsidR="00FC16B5" w:rsidRPr="00FC16B5" w:rsidRDefault="00FC16B5" w:rsidP="00FC16B5">
      <w:pPr>
        <w:spacing w:line="240" w:lineRule="auto"/>
        <w:ind w:left="720" w:right="0"/>
        <w:rPr>
          <w:rFonts w:ascii="Georgia" w:eastAsia="Times New Roman" w:hAnsi="Georgia" w:cs="Times New Roman"/>
          <w:b/>
          <w:bCs/>
          <w:sz w:val="24"/>
          <w:szCs w:val="24"/>
        </w:rPr>
      </w:pPr>
      <w:r w:rsidRPr="00FC16B5">
        <w:rPr>
          <w:rFonts w:ascii="Georgia" w:eastAsia="Times New Roman" w:hAnsi="Georgia" w:cs="Times New Roman"/>
          <w:b/>
          <w:bCs/>
          <w:sz w:val="24"/>
          <w:szCs w:val="24"/>
        </w:rPr>
        <w:br/>
        <w:t>Opening Statement</w:t>
      </w:r>
    </w:p>
    <w:p w14:paraId="2B847666" w14:textId="77777777" w:rsidR="00FC16B5" w:rsidRPr="00FC16B5" w:rsidRDefault="00FC16B5" w:rsidP="00FC16B5">
      <w:pPr>
        <w:spacing w:after="300" w:line="300" w:lineRule="atLeast"/>
        <w:ind w:left="720" w:right="0"/>
        <w:rPr>
          <w:rFonts w:ascii="Times New Roman" w:eastAsia="Times New Roman" w:hAnsi="Times New Roman" w:cs="Times New Roman"/>
          <w:sz w:val="24"/>
          <w:szCs w:val="24"/>
        </w:rPr>
      </w:pPr>
      <w:r w:rsidRPr="00FC16B5">
        <w:rPr>
          <w:rFonts w:ascii="Times New Roman" w:eastAsia="Times New Roman" w:hAnsi="Times New Roman" w:cs="Times New Roman"/>
          <w:sz w:val="24"/>
          <w:szCs w:val="24"/>
        </w:rPr>
        <w:t>by </w:t>
      </w:r>
      <w:hyperlink r:id="rId5" w:history="1">
        <w:r w:rsidRPr="00FC16B5">
          <w:rPr>
            <w:rFonts w:ascii="Times New Roman" w:eastAsia="Times New Roman" w:hAnsi="Times New Roman" w:cs="Times New Roman"/>
            <w:color w:val="3D3D3D"/>
            <w:sz w:val="24"/>
            <w:szCs w:val="24"/>
            <w:u w:val="single"/>
          </w:rPr>
          <w:t xml:space="preserve">Matthew </w:t>
        </w:r>
        <w:proofErr w:type="spellStart"/>
        <w:r w:rsidRPr="00FC16B5">
          <w:rPr>
            <w:rFonts w:ascii="Times New Roman" w:eastAsia="Times New Roman" w:hAnsi="Times New Roman" w:cs="Times New Roman"/>
            <w:color w:val="3D3D3D"/>
            <w:sz w:val="24"/>
            <w:szCs w:val="24"/>
            <w:u w:val="single"/>
          </w:rPr>
          <w:t>Messecar</w:t>
        </w:r>
        <w:proofErr w:type="spellEnd"/>
      </w:hyperlink>
      <w:r w:rsidRPr="00FC16B5">
        <w:rPr>
          <w:rFonts w:ascii="Times New Roman" w:eastAsia="Times New Roman" w:hAnsi="Times New Roman" w:cs="Times New Roman"/>
          <w:sz w:val="24"/>
          <w:szCs w:val="24"/>
        </w:rPr>
        <w:t> - Thursday, 12 August 2021, 10:14 PM</w:t>
      </w:r>
    </w:p>
    <w:p w14:paraId="13BEF0B6" w14:textId="77777777" w:rsidR="00FC16B5" w:rsidRPr="00FC16B5" w:rsidRDefault="00FC16B5" w:rsidP="00FC16B5">
      <w:pPr>
        <w:spacing w:line="240" w:lineRule="auto"/>
        <w:ind w:left="0" w:right="0"/>
        <w:rPr>
          <w:rFonts w:ascii="Times New Roman" w:eastAsia="Times New Roman" w:hAnsi="Times New Roman" w:cs="Times New Roman"/>
          <w:sz w:val="24"/>
          <w:szCs w:val="24"/>
        </w:rPr>
      </w:pPr>
      <w:r w:rsidRPr="00FC16B5">
        <w:rPr>
          <w:rFonts w:ascii="Times New Roman" w:eastAsia="Times New Roman" w:hAnsi="Times New Roman" w:cs="Times New Roman"/>
          <w:sz w:val="24"/>
          <w:szCs w:val="24"/>
        </w:rPr>
        <w:t> </w:t>
      </w:r>
    </w:p>
    <w:p w14:paraId="1F253ECD" w14:textId="77777777" w:rsidR="00FC16B5" w:rsidRPr="00FC16B5" w:rsidRDefault="00FC16B5" w:rsidP="00FC16B5">
      <w:pPr>
        <w:spacing w:after="150" w:line="240" w:lineRule="auto"/>
        <w:ind w:left="0" w:right="0"/>
        <w:jc w:val="center"/>
        <w:rPr>
          <w:rFonts w:ascii="Times New Roman" w:eastAsia="Times New Roman" w:hAnsi="Times New Roman" w:cs="Times New Roman"/>
          <w:sz w:val="24"/>
          <w:szCs w:val="24"/>
        </w:rPr>
      </w:pPr>
      <w:r w:rsidRPr="00FC16B5">
        <w:rPr>
          <w:rFonts w:ascii="Times New Roman" w:eastAsia="Times New Roman" w:hAnsi="Times New Roman" w:cs="Times New Roman"/>
          <w:b/>
          <w:bCs/>
          <w:sz w:val="24"/>
          <w:szCs w:val="24"/>
        </w:rPr>
        <w:t>Opening Statement</w:t>
      </w:r>
    </w:p>
    <w:p w14:paraId="72E6F94A" w14:textId="77777777" w:rsidR="00FC16B5" w:rsidRPr="00FC16B5" w:rsidRDefault="00FC16B5" w:rsidP="00FC16B5">
      <w:pPr>
        <w:spacing w:after="150" w:line="240" w:lineRule="auto"/>
        <w:ind w:left="0" w:right="0"/>
        <w:rPr>
          <w:rFonts w:ascii="Times New Roman" w:eastAsia="Times New Roman" w:hAnsi="Times New Roman" w:cs="Times New Roman"/>
          <w:sz w:val="24"/>
          <w:szCs w:val="24"/>
        </w:rPr>
      </w:pPr>
      <w:r w:rsidRPr="00FC16B5">
        <w:rPr>
          <w:rFonts w:ascii="Times New Roman" w:eastAsia="Times New Roman" w:hAnsi="Times New Roman" w:cs="Times New Roman"/>
          <w:sz w:val="24"/>
          <w:szCs w:val="24"/>
        </w:rPr>
        <w:t>Quality in health care is defined by the Institute of Medicine in 2001 as "the degree to which health services for individuals and populations increase the likelihood of desired health outcomes and are consistent with current knowledge." The delivery of healthcare, or the point where clients receive the service, is generally deemed as high quality when the factors of safety, efficiency, effectiveness, and patient-centeredness meet or exceed expectations, resulting in a positive impact on the patient's well-being.  As technological advances continue to advance rapidly, data supporting the benefits of healthcare quality brings this fact into focus.  </w:t>
      </w:r>
    </w:p>
    <w:p w14:paraId="21F67C47" w14:textId="77777777" w:rsidR="00FC16B5" w:rsidRPr="00FC16B5" w:rsidRDefault="00FC16B5" w:rsidP="00FC16B5">
      <w:pPr>
        <w:spacing w:after="150" w:line="240" w:lineRule="auto"/>
        <w:ind w:left="0" w:right="0"/>
        <w:rPr>
          <w:rFonts w:ascii="Times New Roman" w:eastAsia="Times New Roman" w:hAnsi="Times New Roman" w:cs="Times New Roman"/>
          <w:sz w:val="24"/>
          <w:szCs w:val="24"/>
        </w:rPr>
      </w:pPr>
      <w:r w:rsidRPr="00FC16B5">
        <w:rPr>
          <w:rFonts w:ascii="Times New Roman" w:eastAsia="Times New Roman" w:hAnsi="Times New Roman" w:cs="Times New Roman"/>
          <w:sz w:val="24"/>
          <w:szCs w:val="24"/>
        </w:rPr>
        <w:t>            Technology has had an undeniable positive effect on patient safety.   The range of safety-related enhancements across healthcare is vast.  From bed alarms, monitoring blood levels like glucose instantly, clinical flags, reminders, and alerts, to mobile connective tech for triage, innovations and advancements are entering the market regularly to offer a piece of mind and provide safer alternatives for many disciplines of care.  Oh-Park (2021) concluded that technology-based interventions were influential in preventing falls, which in turn also guarded against subsequent detrimental health conditions associated with high cost.  Telemedicine allows for increased access, timeliness, and efficiency in care.  Home telemonitoring technology can monitor vital signs, symptoms, and even cardiac rhythms from a remote location, alerting healthcare professionals to issues as they begin to trend negatively.  The clinician can interpret the values in real-time, give the patient direct feedback, and document on the spot into the electronic health record (EHR), which enhances the efficiency of healthcare.</w:t>
      </w:r>
    </w:p>
    <w:p w14:paraId="080A74F5" w14:textId="77777777" w:rsidR="00FC16B5" w:rsidRPr="00FC16B5" w:rsidRDefault="00FC16B5" w:rsidP="00FC16B5">
      <w:pPr>
        <w:spacing w:after="150" w:line="240" w:lineRule="auto"/>
        <w:ind w:left="0" w:right="0"/>
        <w:rPr>
          <w:rFonts w:ascii="Times New Roman" w:eastAsia="Times New Roman" w:hAnsi="Times New Roman" w:cs="Times New Roman"/>
          <w:sz w:val="24"/>
          <w:szCs w:val="24"/>
        </w:rPr>
      </w:pPr>
      <w:r w:rsidRPr="00FC16B5">
        <w:rPr>
          <w:rFonts w:ascii="Times New Roman" w:eastAsia="Times New Roman" w:hAnsi="Times New Roman" w:cs="Times New Roman"/>
          <w:sz w:val="24"/>
          <w:szCs w:val="24"/>
        </w:rPr>
        <w:t>            Since its widespread insertion into healthcare systems, the EHR may be the most significant technological contributor to enhanced efficiency. EHR's provide the ability to store and retrieve data of an entire healthcare system's patient population's individual histories from the cloud within a single database resulting in easier retrieval in patient information.  Quality of care is improved by rapidly communicating patient data in a legible, formatted form that enhances medication safety and allows for easily verifiable orders.  Strudwick's (2018) study agreed that accompanying technological advances, such as barcode medication administration, which may be integrated directly into the EHR, directly decreased medication errors.  Prevention of these errors saves healthcare professionals time and lessens the potential for an increased financial burden.   Regarding the excessive financial burden of healthcare in the United States, a University of Michigan Study in 2013 indicated that shifting from paper to electronic health records reduced the cost of outpatient care by 3%, estimating a savings of $5.14 per patient per month.  Consider these savings in a large metropolitan area, and the potential savings are staggering. </w:t>
      </w:r>
    </w:p>
    <w:p w14:paraId="14358138" w14:textId="77777777" w:rsidR="00FC16B5" w:rsidRPr="00FC16B5" w:rsidRDefault="00FC16B5" w:rsidP="00FC16B5">
      <w:pPr>
        <w:spacing w:after="150" w:line="240" w:lineRule="auto"/>
        <w:ind w:left="0" w:right="0"/>
        <w:rPr>
          <w:rFonts w:ascii="Times New Roman" w:eastAsia="Times New Roman" w:hAnsi="Times New Roman" w:cs="Times New Roman"/>
          <w:sz w:val="24"/>
          <w:szCs w:val="24"/>
        </w:rPr>
      </w:pPr>
      <w:r w:rsidRPr="00FC16B5">
        <w:rPr>
          <w:rFonts w:ascii="Times New Roman" w:eastAsia="Times New Roman" w:hAnsi="Times New Roman" w:cs="Times New Roman"/>
          <w:sz w:val="24"/>
          <w:szCs w:val="24"/>
        </w:rPr>
        <w:t xml:space="preserve">            Quality of healthcare delivery is also enhanced by innovative technologies that improve diagnostics, procedures, and treatment for illnesses.  Technology advancements with diagnostic imaging have provided the ability to confirm a diagnosis with visualization.  Minimally invasive robotic surgeries allow for more precise procedures with smaller incisions, lowering the risk of infection and blood loss, and are associated with earlier discharge from the hospital and quicker </w:t>
      </w:r>
      <w:r w:rsidRPr="00FC16B5">
        <w:rPr>
          <w:rFonts w:ascii="Times New Roman" w:eastAsia="Times New Roman" w:hAnsi="Times New Roman" w:cs="Times New Roman"/>
          <w:sz w:val="24"/>
          <w:szCs w:val="24"/>
        </w:rPr>
        <w:lastRenderedPageBreak/>
        <w:t xml:space="preserve">return to normal daily activities.  Technology also allows for more adaptive disease management.  For example, </w:t>
      </w:r>
      <w:proofErr w:type="spellStart"/>
      <w:r w:rsidRPr="00FC16B5">
        <w:rPr>
          <w:rFonts w:ascii="Times New Roman" w:eastAsia="Times New Roman" w:hAnsi="Times New Roman" w:cs="Times New Roman"/>
          <w:sz w:val="24"/>
          <w:szCs w:val="24"/>
        </w:rPr>
        <w:t>Sundararaman's</w:t>
      </w:r>
      <w:proofErr w:type="spellEnd"/>
      <w:r w:rsidRPr="00FC16B5">
        <w:rPr>
          <w:rFonts w:ascii="Times New Roman" w:eastAsia="Times New Roman" w:hAnsi="Times New Roman" w:cs="Times New Roman"/>
          <w:sz w:val="24"/>
          <w:szCs w:val="24"/>
        </w:rPr>
        <w:t xml:space="preserve"> (2017) study regarding mobile technology in chronic pain management concludes that innovative technologies allow for increased monitoring and the offering of remote interventions without the challenges of long-distance travel or regular clinic visits.  Another benefit is often a lower price for the consumer than many face-to-face interventions.  Care may be tailored to the patient according to their personal preferences.  </w:t>
      </w:r>
    </w:p>
    <w:p w14:paraId="63AB0D3F" w14:textId="77777777" w:rsidR="00FC16B5" w:rsidRPr="00FC16B5" w:rsidRDefault="00FC16B5" w:rsidP="00FC16B5">
      <w:pPr>
        <w:spacing w:after="150" w:line="240" w:lineRule="auto"/>
        <w:ind w:left="0" w:right="0"/>
        <w:rPr>
          <w:rFonts w:ascii="Times New Roman" w:eastAsia="Times New Roman" w:hAnsi="Times New Roman" w:cs="Times New Roman"/>
          <w:sz w:val="24"/>
          <w:szCs w:val="24"/>
        </w:rPr>
      </w:pPr>
      <w:r w:rsidRPr="00FC16B5">
        <w:rPr>
          <w:rFonts w:ascii="Times New Roman" w:eastAsia="Times New Roman" w:hAnsi="Times New Roman" w:cs="Times New Roman"/>
          <w:sz w:val="24"/>
          <w:szCs w:val="24"/>
        </w:rPr>
        <w:t xml:space="preserve">Technology also allows care to be </w:t>
      </w:r>
      <w:proofErr w:type="gramStart"/>
      <w:r w:rsidRPr="00FC16B5">
        <w:rPr>
          <w:rFonts w:ascii="Times New Roman" w:eastAsia="Times New Roman" w:hAnsi="Times New Roman" w:cs="Times New Roman"/>
          <w:sz w:val="24"/>
          <w:szCs w:val="24"/>
        </w:rPr>
        <w:t>patient-centered</w:t>
      </w:r>
      <w:proofErr w:type="gramEnd"/>
      <w:r w:rsidRPr="00FC16B5">
        <w:rPr>
          <w:rFonts w:ascii="Times New Roman" w:eastAsia="Times New Roman" w:hAnsi="Times New Roman" w:cs="Times New Roman"/>
          <w:sz w:val="24"/>
          <w:szCs w:val="24"/>
        </w:rPr>
        <w:t>.  More than ever, patients are empowered to be involved as a partner and decision-maker in their care plan.  Mobile apps for symptom tracking wellness and wellness allow patients to track progress toward goals in their health journey.  New education formats, such as interactive walkthroughs, educational videos, and reminders through their smartphones, give patients options for how to engage in their care. Newsom's (2018) study showed that technology is beneficial as patients typically remember less than half of the information provided to them verbally during surgical consultations, but nearly all preferred educational videos.  Specific studies, such as lower-cost genetic testing such as 23 and me, have made it easier for people to learn about their DNA and predisposition to particular diseases. </w:t>
      </w:r>
    </w:p>
    <w:p w14:paraId="342803CD" w14:textId="77777777" w:rsidR="00FC16B5" w:rsidRPr="00FC16B5" w:rsidRDefault="00FC16B5" w:rsidP="00FC16B5">
      <w:pPr>
        <w:spacing w:after="150" w:line="240" w:lineRule="auto"/>
        <w:ind w:left="0" w:right="0"/>
        <w:rPr>
          <w:rFonts w:ascii="Times New Roman" w:eastAsia="Times New Roman" w:hAnsi="Times New Roman" w:cs="Times New Roman"/>
          <w:sz w:val="24"/>
          <w:szCs w:val="24"/>
        </w:rPr>
      </w:pPr>
      <w:r w:rsidRPr="00FC16B5">
        <w:rPr>
          <w:rFonts w:ascii="Times New Roman" w:eastAsia="Times New Roman" w:hAnsi="Times New Roman" w:cs="Times New Roman"/>
          <w:sz w:val="24"/>
          <w:szCs w:val="24"/>
        </w:rPr>
        <w:t>As discoveries lead to new and innovative ideas, we can count on technology to promote safety, efficiency, effectiveness, and the promotion of patient-centered care.   Within any health science-related profession, the expectation is for the rapid evolution of technology to continue to enhance and promote positive outcomes with healthcare delivery.  </w:t>
      </w:r>
      <w:r w:rsidRPr="00FC16B5">
        <w:rPr>
          <w:rFonts w:ascii="Times New Roman" w:eastAsia="Times New Roman" w:hAnsi="Times New Roman" w:cs="Times New Roman"/>
          <w:b/>
          <w:bCs/>
          <w:sz w:val="24"/>
          <w:szCs w:val="24"/>
        </w:rPr>
        <w:t> </w:t>
      </w:r>
    </w:p>
    <w:p w14:paraId="7E26A81C" w14:textId="77777777" w:rsidR="00FC16B5" w:rsidRPr="00FC16B5" w:rsidRDefault="00FC16B5" w:rsidP="00FC16B5">
      <w:pPr>
        <w:spacing w:after="150" w:line="240" w:lineRule="auto"/>
        <w:ind w:left="0" w:right="0"/>
        <w:rPr>
          <w:rFonts w:ascii="Times New Roman" w:eastAsia="Times New Roman" w:hAnsi="Times New Roman" w:cs="Times New Roman"/>
          <w:sz w:val="24"/>
          <w:szCs w:val="24"/>
        </w:rPr>
      </w:pPr>
      <w:r w:rsidRPr="00FC16B5">
        <w:rPr>
          <w:rFonts w:ascii="Times New Roman" w:eastAsia="Times New Roman" w:hAnsi="Times New Roman" w:cs="Times New Roman"/>
          <w:b/>
          <w:bCs/>
          <w:sz w:val="24"/>
          <w:szCs w:val="24"/>
        </w:rPr>
        <w:t> </w:t>
      </w:r>
    </w:p>
    <w:p w14:paraId="2C0C35CE" w14:textId="77777777" w:rsidR="00FC16B5" w:rsidRPr="00FC16B5" w:rsidRDefault="00FC16B5" w:rsidP="00FC16B5">
      <w:pPr>
        <w:spacing w:after="150" w:line="240" w:lineRule="auto"/>
        <w:ind w:left="0" w:right="0"/>
        <w:jc w:val="center"/>
        <w:rPr>
          <w:rFonts w:ascii="Times New Roman" w:eastAsia="Times New Roman" w:hAnsi="Times New Roman" w:cs="Times New Roman"/>
          <w:sz w:val="24"/>
          <w:szCs w:val="24"/>
        </w:rPr>
      </w:pPr>
      <w:r w:rsidRPr="00FC16B5">
        <w:rPr>
          <w:rFonts w:ascii="Times New Roman" w:eastAsia="Times New Roman" w:hAnsi="Times New Roman" w:cs="Times New Roman"/>
          <w:b/>
          <w:bCs/>
          <w:sz w:val="24"/>
          <w:szCs w:val="24"/>
        </w:rPr>
        <w:t>References:</w:t>
      </w:r>
    </w:p>
    <w:p w14:paraId="6B78EE95" w14:textId="77777777" w:rsidR="00FC16B5" w:rsidRPr="00FC16B5" w:rsidRDefault="00FC16B5" w:rsidP="00FC16B5">
      <w:pPr>
        <w:spacing w:after="150" w:line="240" w:lineRule="auto"/>
        <w:ind w:left="0" w:right="0"/>
        <w:rPr>
          <w:rFonts w:ascii="Times New Roman" w:eastAsia="Times New Roman" w:hAnsi="Times New Roman" w:cs="Times New Roman"/>
          <w:sz w:val="24"/>
          <w:szCs w:val="24"/>
        </w:rPr>
      </w:pPr>
      <w:r w:rsidRPr="00FC16B5">
        <w:rPr>
          <w:rFonts w:ascii="Times New Roman" w:eastAsia="Times New Roman" w:hAnsi="Times New Roman" w:cs="Times New Roman"/>
          <w:sz w:val="24"/>
          <w:szCs w:val="24"/>
        </w:rPr>
        <w:t>Institute of Medicine, "Crossing the Quality Chasm: A New Healthcare System for the 21st Century", 2001.</w:t>
      </w:r>
    </w:p>
    <w:p w14:paraId="1965C6AA" w14:textId="77777777" w:rsidR="00FC16B5" w:rsidRPr="00FC16B5" w:rsidRDefault="00FC16B5" w:rsidP="00FC16B5">
      <w:pPr>
        <w:spacing w:after="150" w:line="240" w:lineRule="auto"/>
        <w:ind w:left="0" w:right="0"/>
        <w:rPr>
          <w:rFonts w:ascii="Times New Roman" w:eastAsia="Times New Roman" w:hAnsi="Times New Roman" w:cs="Times New Roman"/>
          <w:sz w:val="24"/>
          <w:szCs w:val="24"/>
        </w:rPr>
      </w:pPr>
      <w:r w:rsidRPr="00FC16B5">
        <w:rPr>
          <w:rFonts w:ascii="Times New Roman" w:eastAsia="Times New Roman" w:hAnsi="Times New Roman" w:cs="Times New Roman"/>
          <w:sz w:val="24"/>
          <w:szCs w:val="24"/>
        </w:rPr>
        <w:t xml:space="preserve">Newsom, E., Lee, E., Rossi, A., </w:t>
      </w:r>
      <w:proofErr w:type="spellStart"/>
      <w:r w:rsidRPr="00FC16B5">
        <w:rPr>
          <w:rFonts w:ascii="Times New Roman" w:eastAsia="Times New Roman" w:hAnsi="Times New Roman" w:cs="Times New Roman"/>
          <w:sz w:val="24"/>
          <w:szCs w:val="24"/>
        </w:rPr>
        <w:t>Dusza</w:t>
      </w:r>
      <w:proofErr w:type="spellEnd"/>
      <w:r w:rsidRPr="00FC16B5">
        <w:rPr>
          <w:rFonts w:ascii="Times New Roman" w:eastAsia="Times New Roman" w:hAnsi="Times New Roman" w:cs="Times New Roman"/>
          <w:sz w:val="24"/>
          <w:szCs w:val="24"/>
        </w:rPr>
        <w:t xml:space="preserve">, S., Nehal, K. (2018). Modernizing the </w:t>
      </w:r>
      <w:proofErr w:type="spellStart"/>
      <w:r w:rsidRPr="00FC16B5">
        <w:rPr>
          <w:rFonts w:ascii="Times New Roman" w:eastAsia="Times New Roman" w:hAnsi="Times New Roman" w:cs="Times New Roman"/>
          <w:sz w:val="24"/>
          <w:szCs w:val="24"/>
        </w:rPr>
        <w:t>mohs</w:t>
      </w:r>
      <w:proofErr w:type="spellEnd"/>
      <w:r w:rsidRPr="00FC16B5">
        <w:rPr>
          <w:rFonts w:ascii="Times New Roman" w:eastAsia="Times New Roman" w:hAnsi="Times New Roman" w:cs="Times New Roman"/>
          <w:sz w:val="24"/>
          <w:szCs w:val="24"/>
        </w:rPr>
        <w:t xml:space="preserve"> surgery consultation: instituting a video module for improved patient education and satisfaction. </w:t>
      </w:r>
      <w:r w:rsidRPr="00FC16B5">
        <w:rPr>
          <w:rFonts w:ascii="Times New Roman" w:eastAsia="Times New Roman" w:hAnsi="Times New Roman" w:cs="Times New Roman"/>
          <w:i/>
          <w:iCs/>
          <w:sz w:val="24"/>
          <w:szCs w:val="24"/>
        </w:rPr>
        <w:t>Dermatologic Surgery</w:t>
      </w:r>
      <w:r w:rsidRPr="00FC16B5">
        <w:rPr>
          <w:rFonts w:ascii="Times New Roman" w:eastAsia="Times New Roman" w:hAnsi="Times New Roman" w:cs="Times New Roman"/>
          <w:sz w:val="24"/>
          <w:szCs w:val="24"/>
        </w:rPr>
        <w:t>, </w:t>
      </w:r>
      <w:r w:rsidRPr="00FC16B5">
        <w:rPr>
          <w:rFonts w:ascii="Times New Roman" w:eastAsia="Times New Roman" w:hAnsi="Times New Roman" w:cs="Times New Roman"/>
          <w:i/>
          <w:iCs/>
          <w:sz w:val="24"/>
          <w:szCs w:val="24"/>
        </w:rPr>
        <w:t>44</w:t>
      </w:r>
      <w:r w:rsidRPr="00FC16B5">
        <w:rPr>
          <w:rFonts w:ascii="Times New Roman" w:eastAsia="Times New Roman" w:hAnsi="Times New Roman" w:cs="Times New Roman"/>
          <w:sz w:val="24"/>
          <w:szCs w:val="24"/>
        </w:rPr>
        <w:t>, 778-784. https://dx.doi.org/10.1097/DSS.0000000000001473</w:t>
      </w:r>
    </w:p>
    <w:p w14:paraId="70831709" w14:textId="77777777" w:rsidR="00FC16B5" w:rsidRPr="00FC16B5" w:rsidRDefault="00FC16B5" w:rsidP="00FC16B5">
      <w:pPr>
        <w:spacing w:after="150" w:line="240" w:lineRule="auto"/>
        <w:ind w:left="0" w:right="0"/>
        <w:rPr>
          <w:rFonts w:ascii="Times New Roman" w:eastAsia="Times New Roman" w:hAnsi="Times New Roman" w:cs="Times New Roman"/>
          <w:sz w:val="24"/>
          <w:szCs w:val="24"/>
        </w:rPr>
      </w:pPr>
      <w:r w:rsidRPr="00FC16B5">
        <w:rPr>
          <w:rFonts w:ascii="Times New Roman" w:eastAsia="Times New Roman" w:hAnsi="Times New Roman" w:cs="Times New Roman"/>
          <w:sz w:val="24"/>
          <w:szCs w:val="24"/>
        </w:rPr>
        <w:t xml:space="preserve">Oh-Park, M., Doan, T., </w:t>
      </w:r>
      <w:proofErr w:type="spellStart"/>
      <w:r w:rsidRPr="00FC16B5">
        <w:rPr>
          <w:rFonts w:ascii="Times New Roman" w:eastAsia="Times New Roman" w:hAnsi="Times New Roman" w:cs="Times New Roman"/>
          <w:sz w:val="24"/>
          <w:szCs w:val="24"/>
        </w:rPr>
        <w:t>Dohle</w:t>
      </w:r>
      <w:proofErr w:type="spellEnd"/>
      <w:r w:rsidRPr="00FC16B5">
        <w:rPr>
          <w:rFonts w:ascii="Times New Roman" w:eastAsia="Times New Roman" w:hAnsi="Times New Roman" w:cs="Times New Roman"/>
          <w:sz w:val="24"/>
          <w:szCs w:val="24"/>
        </w:rPr>
        <w:t xml:space="preserve">, C., </w:t>
      </w:r>
      <w:proofErr w:type="spellStart"/>
      <w:r w:rsidRPr="00FC16B5">
        <w:rPr>
          <w:rFonts w:ascii="Times New Roman" w:eastAsia="Times New Roman" w:hAnsi="Times New Roman" w:cs="Times New Roman"/>
          <w:sz w:val="24"/>
          <w:szCs w:val="24"/>
        </w:rPr>
        <w:t>Vermiglio</w:t>
      </w:r>
      <w:proofErr w:type="spellEnd"/>
      <w:r w:rsidRPr="00FC16B5">
        <w:rPr>
          <w:rFonts w:ascii="Times New Roman" w:eastAsia="Times New Roman" w:hAnsi="Times New Roman" w:cs="Times New Roman"/>
          <w:sz w:val="24"/>
          <w:szCs w:val="24"/>
        </w:rPr>
        <w:t>-Kohn, V., Abdou, A. (2021). Technology utilization in fall prevention. </w:t>
      </w:r>
      <w:r w:rsidRPr="00FC16B5">
        <w:rPr>
          <w:rFonts w:ascii="Times New Roman" w:eastAsia="Times New Roman" w:hAnsi="Times New Roman" w:cs="Times New Roman"/>
          <w:i/>
          <w:iCs/>
          <w:sz w:val="24"/>
          <w:szCs w:val="24"/>
        </w:rPr>
        <w:t>American Journal of Physical Medicine &amp; Rehabilitation</w:t>
      </w:r>
      <w:r w:rsidRPr="00FC16B5">
        <w:rPr>
          <w:rFonts w:ascii="Times New Roman" w:eastAsia="Times New Roman" w:hAnsi="Times New Roman" w:cs="Times New Roman"/>
          <w:sz w:val="24"/>
          <w:szCs w:val="24"/>
        </w:rPr>
        <w:t>, </w:t>
      </w:r>
      <w:r w:rsidRPr="00FC16B5">
        <w:rPr>
          <w:rFonts w:ascii="Times New Roman" w:eastAsia="Times New Roman" w:hAnsi="Times New Roman" w:cs="Times New Roman"/>
          <w:i/>
          <w:iCs/>
          <w:sz w:val="24"/>
          <w:szCs w:val="24"/>
        </w:rPr>
        <w:t>100</w:t>
      </w:r>
      <w:r w:rsidRPr="00FC16B5">
        <w:rPr>
          <w:rFonts w:ascii="Times New Roman" w:eastAsia="Times New Roman" w:hAnsi="Times New Roman" w:cs="Times New Roman"/>
          <w:sz w:val="24"/>
          <w:szCs w:val="24"/>
        </w:rPr>
        <w:t>, 92-99. https://dx.doi.org/10.1097/PHM.0000000000001554</w:t>
      </w:r>
    </w:p>
    <w:p w14:paraId="7017A5B5" w14:textId="77777777" w:rsidR="00FC16B5" w:rsidRPr="00FC16B5" w:rsidRDefault="00FC16B5" w:rsidP="00FC16B5">
      <w:pPr>
        <w:spacing w:after="150" w:line="240" w:lineRule="auto"/>
        <w:ind w:left="0" w:right="0"/>
        <w:rPr>
          <w:rFonts w:ascii="Times New Roman" w:eastAsia="Times New Roman" w:hAnsi="Times New Roman" w:cs="Times New Roman"/>
          <w:sz w:val="24"/>
          <w:szCs w:val="24"/>
        </w:rPr>
      </w:pPr>
      <w:r w:rsidRPr="00FC16B5">
        <w:rPr>
          <w:rFonts w:ascii="Times New Roman" w:eastAsia="Times New Roman" w:hAnsi="Times New Roman" w:cs="Times New Roman"/>
          <w:sz w:val="24"/>
          <w:szCs w:val="24"/>
        </w:rPr>
        <w:t xml:space="preserve">Strudwick, G., </w:t>
      </w:r>
      <w:proofErr w:type="spellStart"/>
      <w:r w:rsidRPr="00FC16B5">
        <w:rPr>
          <w:rFonts w:ascii="Times New Roman" w:eastAsia="Times New Roman" w:hAnsi="Times New Roman" w:cs="Times New Roman"/>
          <w:sz w:val="24"/>
          <w:szCs w:val="24"/>
        </w:rPr>
        <w:t>Reisdorfer</w:t>
      </w:r>
      <w:proofErr w:type="spellEnd"/>
      <w:r w:rsidRPr="00FC16B5">
        <w:rPr>
          <w:rFonts w:ascii="Times New Roman" w:eastAsia="Times New Roman" w:hAnsi="Times New Roman" w:cs="Times New Roman"/>
          <w:sz w:val="24"/>
          <w:szCs w:val="24"/>
        </w:rPr>
        <w:t>, E., Warnock, C., Kalia, K., Sulkers, H., Clark, C., Booth, R. (2018). Factors associated with barcode medication administration technology that contribute to patient safety: an integrative review. </w:t>
      </w:r>
      <w:r w:rsidRPr="00FC16B5">
        <w:rPr>
          <w:rFonts w:ascii="Times New Roman" w:eastAsia="Times New Roman" w:hAnsi="Times New Roman" w:cs="Times New Roman"/>
          <w:i/>
          <w:iCs/>
          <w:sz w:val="24"/>
          <w:szCs w:val="24"/>
        </w:rPr>
        <w:t>Journal of Nursing Care Quality</w:t>
      </w:r>
      <w:r w:rsidRPr="00FC16B5">
        <w:rPr>
          <w:rFonts w:ascii="Times New Roman" w:eastAsia="Times New Roman" w:hAnsi="Times New Roman" w:cs="Times New Roman"/>
          <w:sz w:val="24"/>
          <w:szCs w:val="24"/>
        </w:rPr>
        <w:t>, </w:t>
      </w:r>
      <w:r w:rsidRPr="00FC16B5">
        <w:rPr>
          <w:rFonts w:ascii="Times New Roman" w:eastAsia="Times New Roman" w:hAnsi="Times New Roman" w:cs="Times New Roman"/>
          <w:i/>
          <w:iCs/>
          <w:sz w:val="24"/>
          <w:szCs w:val="24"/>
        </w:rPr>
        <w:t>33</w:t>
      </w:r>
      <w:r w:rsidRPr="00FC16B5">
        <w:rPr>
          <w:rFonts w:ascii="Times New Roman" w:eastAsia="Times New Roman" w:hAnsi="Times New Roman" w:cs="Times New Roman"/>
          <w:sz w:val="24"/>
          <w:szCs w:val="24"/>
        </w:rPr>
        <w:t>, 79-85. </w:t>
      </w:r>
      <w:hyperlink r:id="rId6" w:history="1">
        <w:r w:rsidRPr="00FC16B5">
          <w:rPr>
            <w:rFonts w:ascii="Times New Roman" w:eastAsia="Times New Roman" w:hAnsi="Times New Roman" w:cs="Times New Roman"/>
            <w:color w:val="3D3D3D"/>
            <w:sz w:val="24"/>
            <w:szCs w:val="24"/>
            <w:u w:val="single"/>
          </w:rPr>
          <w:t>https://dx.doi.org/10.1097/NCQ.0000000000000270</w:t>
        </w:r>
      </w:hyperlink>
    </w:p>
    <w:p w14:paraId="563D1141" w14:textId="77777777" w:rsidR="00FC16B5" w:rsidRPr="00FC16B5" w:rsidRDefault="00FC16B5" w:rsidP="00FC16B5">
      <w:pPr>
        <w:spacing w:after="150" w:line="240" w:lineRule="auto"/>
        <w:ind w:left="0" w:right="0"/>
        <w:rPr>
          <w:rFonts w:ascii="Times New Roman" w:eastAsia="Times New Roman" w:hAnsi="Times New Roman" w:cs="Times New Roman"/>
          <w:sz w:val="24"/>
          <w:szCs w:val="24"/>
        </w:rPr>
      </w:pPr>
      <w:proofErr w:type="spellStart"/>
      <w:r w:rsidRPr="00FC16B5">
        <w:rPr>
          <w:rFonts w:ascii="Times New Roman" w:eastAsia="Times New Roman" w:hAnsi="Times New Roman" w:cs="Times New Roman"/>
          <w:sz w:val="24"/>
          <w:szCs w:val="24"/>
        </w:rPr>
        <w:t>Sundararaman</w:t>
      </w:r>
      <w:proofErr w:type="spellEnd"/>
      <w:r w:rsidRPr="00FC16B5">
        <w:rPr>
          <w:rFonts w:ascii="Times New Roman" w:eastAsia="Times New Roman" w:hAnsi="Times New Roman" w:cs="Times New Roman"/>
          <w:sz w:val="24"/>
          <w:szCs w:val="24"/>
        </w:rPr>
        <w:t>, L. V., Edwards, R. R., Ross, E. L., Jamison, R. N. (2017). Integration of mobile health technology in the treatment of chronic pain: a critical review. </w:t>
      </w:r>
      <w:r w:rsidRPr="00FC16B5">
        <w:rPr>
          <w:rFonts w:ascii="Times New Roman" w:eastAsia="Times New Roman" w:hAnsi="Times New Roman" w:cs="Times New Roman"/>
          <w:i/>
          <w:iCs/>
          <w:sz w:val="24"/>
          <w:szCs w:val="24"/>
        </w:rPr>
        <w:t>Regional Anesthesia &amp; Pain Medicine</w:t>
      </w:r>
      <w:r w:rsidRPr="00FC16B5">
        <w:rPr>
          <w:rFonts w:ascii="Times New Roman" w:eastAsia="Times New Roman" w:hAnsi="Times New Roman" w:cs="Times New Roman"/>
          <w:sz w:val="24"/>
          <w:szCs w:val="24"/>
        </w:rPr>
        <w:t>, </w:t>
      </w:r>
      <w:r w:rsidRPr="00FC16B5">
        <w:rPr>
          <w:rFonts w:ascii="Times New Roman" w:eastAsia="Times New Roman" w:hAnsi="Times New Roman" w:cs="Times New Roman"/>
          <w:i/>
          <w:iCs/>
          <w:sz w:val="24"/>
          <w:szCs w:val="24"/>
        </w:rPr>
        <w:t>42</w:t>
      </w:r>
      <w:r w:rsidRPr="00FC16B5">
        <w:rPr>
          <w:rFonts w:ascii="Times New Roman" w:eastAsia="Times New Roman" w:hAnsi="Times New Roman" w:cs="Times New Roman"/>
          <w:sz w:val="24"/>
          <w:szCs w:val="24"/>
        </w:rPr>
        <w:t>, 488-498. https://dx.doi.org/10.1097/AAP.0000000000000621</w:t>
      </w:r>
    </w:p>
    <w:p w14:paraId="7FCBD83B" w14:textId="77777777" w:rsidR="00FC16B5" w:rsidRPr="00FC16B5" w:rsidRDefault="00FC16B5" w:rsidP="00FC16B5">
      <w:pPr>
        <w:spacing w:line="240" w:lineRule="auto"/>
        <w:ind w:left="0" w:right="0"/>
        <w:rPr>
          <w:rFonts w:ascii="Times New Roman" w:eastAsia="Times New Roman" w:hAnsi="Times New Roman" w:cs="Times New Roman"/>
          <w:sz w:val="24"/>
          <w:szCs w:val="24"/>
        </w:rPr>
      </w:pPr>
    </w:p>
    <w:p w14:paraId="4A3345AC" w14:textId="77777777" w:rsidR="00FC16B5" w:rsidRPr="00FC16B5" w:rsidRDefault="00FC16B5" w:rsidP="00FC16B5">
      <w:pPr>
        <w:spacing w:line="240" w:lineRule="auto"/>
        <w:ind w:left="0" w:right="0"/>
        <w:rPr>
          <w:rFonts w:ascii="Times New Roman" w:eastAsia="Times New Roman" w:hAnsi="Times New Roman" w:cs="Times New Roman"/>
          <w:sz w:val="24"/>
          <w:szCs w:val="24"/>
        </w:rPr>
      </w:pPr>
      <w:r w:rsidRPr="00FC16B5">
        <w:rPr>
          <w:rFonts w:ascii="Times New Roman" w:eastAsia="Times New Roman" w:hAnsi="Times New Roman" w:cs="Times New Roman"/>
          <w:sz w:val="24"/>
          <w:szCs w:val="24"/>
        </w:rPr>
        <w:t> </w:t>
      </w:r>
    </w:p>
    <w:p w14:paraId="2C04A33D" w14:textId="77777777" w:rsidR="00FC16B5" w:rsidRPr="00FC16B5" w:rsidRDefault="00FC16B5" w:rsidP="00FC16B5">
      <w:pPr>
        <w:shd w:val="clear" w:color="auto" w:fill="FFFFFF"/>
        <w:spacing w:after="240" w:line="240" w:lineRule="auto"/>
        <w:ind w:left="720" w:right="0"/>
        <w:rPr>
          <w:rFonts w:ascii="Arial" w:eastAsia="Times New Roman" w:hAnsi="Arial" w:cs="Arial"/>
          <w:color w:val="3D3D3D"/>
          <w:sz w:val="20"/>
          <w:szCs w:val="20"/>
        </w:rPr>
      </w:pPr>
      <w:r w:rsidRPr="00FC16B5">
        <w:rPr>
          <w:rFonts w:ascii="Arial" w:eastAsia="Times New Roman" w:hAnsi="Arial" w:cs="Arial"/>
          <w:noProof/>
          <w:color w:val="3D3D3D"/>
          <w:sz w:val="20"/>
          <w:szCs w:val="20"/>
        </w:rPr>
        <w:drawing>
          <wp:inline distT="0" distB="0" distL="0" distR="0" wp14:anchorId="48F72723" wp14:editId="4CA54A99">
            <wp:extent cx="152400" cy="152400"/>
            <wp:effectExtent l="0" t="0" r="0" b="0"/>
            <wp:docPr id="1" name="Picture 1" descr="Word 2007 document">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d 2007 document">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C16B5">
        <w:rPr>
          <w:rFonts w:ascii="Arial" w:eastAsia="Times New Roman" w:hAnsi="Arial" w:cs="Arial"/>
          <w:color w:val="3D3D3D"/>
          <w:sz w:val="20"/>
          <w:szCs w:val="20"/>
        </w:rPr>
        <w:t> </w:t>
      </w:r>
      <w:hyperlink r:id="rId9" w:history="1">
        <w:r w:rsidRPr="00FC16B5">
          <w:rPr>
            <w:rFonts w:ascii="Arial" w:eastAsia="Times New Roman" w:hAnsi="Arial" w:cs="Arial"/>
            <w:color w:val="3D3D3D"/>
            <w:sz w:val="20"/>
            <w:szCs w:val="20"/>
            <w:u w:val="single"/>
          </w:rPr>
          <w:t>Debate Opening Statement.docx</w:t>
        </w:r>
      </w:hyperlink>
    </w:p>
    <w:p w14:paraId="572D5199" w14:textId="77777777" w:rsidR="007128A8" w:rsidRDefault="007128A8"/>
    <w:sectPr w:rsidR="007128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6B5"/>
    <w:rsid w:val="007128A8"/>
    <w:rsid w:val="00BF64D6"/>
    <w:rsid w:val="00E32AED"/>
    <w:rsid w:val="00FC16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1475E"/>
  <w15:chartTrackingRefBased/>
  <w15:docId w15:val="{AF09CC08-8CEB-4E87-8E2A-BEF2A2715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40" w:lineRule="atLeast"/>
        <w:ind w:left="1440" w:right="14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AED"/>
    <w:rPr>
      <w:rFonts w:eastAsiaTheme="minorEastAsia"/>
    </w:rPr>
  </w:style>
  <w:style w:type="paragraph" w:styleId="Heading1">
    <w:name w:val="heading 1"/>
    <w:basedOn w:val="Normal"/>
    <w:next w:val="Normal"/>
    <w:link w:val="Heading1Char"/>
    <w:uiPriority w:val="9"/>
    <w:qFormat/>
    <w:rsid w:val="00E32AED"/>
    <w:pPr>
      <w:keepNext/>
      <w:keepLines/>
      <w:numPr>
        <w:numId w:val="10"/>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E32AED"/>
    <w:pPr>
      <w:keepNext/>
      <w:keepLines/>
      <w:numPr>
        <w:ilvl w:val="1"/>
        <w:numId w:val="10"/>
      </w:numPr>
      <w:spacing w:before="36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E32AED"/>
    <w:pPr>
      <w:keepNext/>
      <w:keepLines/>
      <w:numPr>
        <w:ilvl w:val="2"/>
        <w:numId w:val="10"/>
      </w:numPr>
      <w:spacing w:before="20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E32AED"/>
    <w:pPr>
      <w:keepNext/>
      <w:keepLines/>
      <w:numPr>
        <w:ilvl w:val="3"/>
        <w:numId w:val="10"/>
      </w:numPr>
      <w:spacing w:before="20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E32AED"/>
    <w:pPr>
      <w:keepNext/>
      <w:keepLines/>
      <w:numPr>
        <w:ilvl w:val="4"/>
        <w:numId w:val="10"/>
      </w:numPr>
      <w:spacing w:before="20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E32AED"/>
    <w:pPr>
      <w:keepNext/>
      <w:keepLines/>
      <w:numPr>
        <w:ilvl w:val="5"/>
        <w:numId w:val="10"/>
      </w:numPr>
      <w:spacing w:before="20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E32AED"/>
    <w:pPr>
      <w:keepNext/>
      <w:keepLines/>
      <w:numPr>
        <w:ilvl w:val="6"/>
        <w:numId w:val="10"/>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32AED"/>
    <w:pPr>
      <w:keepNext/>
      <w:keepLines/>
      <w:numPr>
        <w:ilvl w:val="7"/>
        <w:numId w:val="10"/>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32AED"/>
    <w:pPr>
      <w:keepNext/>
      <w:keepLines/>
      <w:numPr>
        <w:ilvl w:val="8"/>
        <w:numId w:val="10"/>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rsid w:val="00E32A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E32AED"/>
  </w:style>
  <w:style w:type="paragraph" w:styleId="ListParagraph">
    <w:name w:val="List Paragraph"/>
    <w:basedOn w:val="Normal"/>
    <w:uiPriority w:val="34"/>
    <w:qFormat/>
    <w:rsid w:val="00E32AED"/>
    <w:pPr>
      <w:ind w:left="720"/>
      <w:contextualSpacing/>
    </w:pPr>
  </w:style>
  <w:style w:type="character" w:customStyle="1" w:styleId="Heading1Char">
    <w:name w:val="Heading 1 Char"/>
    <w:basedOn w:val="DefaultParagraphFont"/>
    <w:link w:val="Heading1"/>
    <w:uiPriority w:val="9"/>
    <w:rsid w:val="00E32AED"/>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semiHidden/>
    <w:rsid w:val="00E32AED"/>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sid w:val="00E32AED"/>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E32AED"/>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E32AED"/>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E32AED"/>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E32AE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32AE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32AED"/>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E32AED"/>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E32AED"/>
    <w:pPr>
      <w:spacing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E32AED"/>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E32AED"/>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E32AED"/>
    <w:rPr>
      <w:rFonts w:eastAsiaTheme="minorEastAsia"/>
      <w:color w:val="5A5A5A" w:themeColor="text1" w:themeTint="A5"/>
      <w:spacing w:val="10"/>
    </w:rPr>
  </w:style>
  <w:style w:type="character" w:styleId="Strong">
    <w:name w:val="Strong"/>
    <w:basedOn w:val="DefaultParagraphFont"/>
    <w:uiPriority w:val="22"/>
    <w:qFormat/>
    <w:rsid w:val="00E32AED"/>
    <w:rPr>
      <w:b/>
      <w:bCs/>
      <w:color w:val="000000" w:themeColor="text1"/>
    </w:rPr>
  </w:style>
  <w:style w:type="character" w:styleId="Emphasis">
    <w:name w:val="Emphasis"/>
    <w:basedOn w:val="DefaultParagraphFont"/>
    <w:uiPriority w:val="20"/>
    <w:qFormat/>
    <w:rsid w:val="00E32AED"/>
    <w:rPr>
      <w:i/>
      <w:iCs/>
      <w:color w:val="auto"/>
    </w:rPr>
  </w:style>
  <w:style w:type="paragraph" w:styleId="NoSpacing">
    <w:name w:val="No Spacing"/>
    <w:uiPriority w:val="1"/>
    <w:qFormat/>
    <w:rsid w:val="00E32AED"/>
    <w:pPr>
      <w:spacing w:line="240" w:lineRule="auto"/>
    </w:pPr>
    <w:rPr>
      <w:rFonts w:eastAsiaTheme="minorEastAsia"/>
    </w:rPr>
  </w:style>
  <w:style w:type="paragraph" w:styleId="Quote">
    <w:name w:val="Quote"/>
    <w:basedOn w:val="Normal"/>
    <w:next w:val="Normal"/>
    <w:link w:val="QuoteChar"/>
    <w:uiPriority w:val="29"/>
    <w:qFormat/>
    <w:rsid w:val="00E32AED"/>
    <w:pPr>
      <w:spacing w:before="160"/>
      <w:ind w:left="720" w:right="720"/>
    </w:pPr>
    <w:rPr>
      <w:i/>
      <w:iCs/>
      <w:color w:val="000000" w:themeColor="text1"/>
    </w:rPr>
  </w:style>
  <w:style w:type="character" w:customStyle="1" w:styleId="QuoteChar">
    <w:name w:val="Quote Char"/>
    <w:basedOn w:val="DefaultParagraphFont"/>
    <w:link w:val="Quote"/>
    <w:uiPriority w:val="29"/>
    <w:rsid w:val="00E32AED"/>
    <w:rPr>
      <w:rFonts w:eastAsiaTheme="minorEastAsia"/>
      <w:i/>
      <w:iCs/>
      <w:color w:val="000000" w:themeColor="text1"/>
    </w:rPr>
  </w:style>
  <w:style w:type="paragraph" w:styleId="IntenseQuote">
    <w:name w:val="Intense Quote"/>
    <w:basedOn w:val="Normal"/>
    <w:next w:val="Normal"/>
    <w:link w:val="IntenseQuoteChar"/>
    <w:uiPriority w:val="30"/>
    <w:qFormat/>
    <w:rsid w:val="00E32AED"/>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E32AED"/>
    <w:rPr>
      <w:rFonts w:eastAsiaTheme="minorEastAsia"/>
      <w:color w:val="000000" w:themeColor="text1"/>
      <w:shd w:val="clear" w:color="auto" w:fill="F2F2F2" w:themeFill="background1" w:themeFillShade="F2"/>
    </w:rPr>
  </w:style>
  <w:style w:type="character" w:styleId="SubtleEmphasis">
    <w:name w:val="Subtle Emphasis"/>
    <w:basedOn w:val="DefaultParagraphFont"/>
    <w:uiPriority w:val="19"/>
    <w:qFormat/>
    <w:rsid w:val="00E32AED"/>
    <w:rPr>
      <w:i/>
      <w:iCs/>
      <w:color w:val="404040" w:themeColor="text1" w:themeTint="BF"/>
    </w:rPr>
  </w:style>
  <w:style w:type="character" w:styleId="IntenseEmphasis">
    <w:name w:val="Intense Emphasis"/>
    <w:basedOn w:val="DefaultParagraphFont"/>
    <w:uiPriority w:val="21"/>
    <w:qFormat/>
    <w:rsid w:val="00E32AED"/>
    <w:rPr>
      <w:b/>
      <w:bCs/>
      <w:i/>
      <w:iCs/>
      <w:caps/>
    </w:rPr>
  </w:style>
  <w:style w:type="character" w:styleId="SubtleReference">
    <w:name w:val="Subtle Reference"/>
    <w:basedOn w:val="DefaultParagraphFont"/>
    <w:uiPriority w:val="31"/>
    <w:qFormat/>
    <w:rsid w:val="00E32AED"/>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E32AED"/>
    <w:rPr>
      <w:b/>
      <w:bCs/>
      <w:smallCaps/>
      <w:u w:val="single"/>
    </w:rPr>
  </w:style>
  <w:style w:type="character" w:styleId="BookTitle">
    <w:name w:val="Book Title"/>
    <w:basedOn w:val="DefaultParagraphFont"/>
    <w:uiPriority w:val="33"/>
    <w:qFormat/>
    <w:rsid w:val="00E32AED"/>
    <w:rPr>
      <w:b w:val="0"/>
      <w:bCs w:val="0"/>
      <w:smallCaps/>
      <w:spacing w:val="5"/>
    </w:rPr>
  </w:style>
  <w:style w:type="paragraph" w:styleId="TOCHeading">
    <w:name w:val="TOC Heading"/>
    <w:basedOn w:val="Heading1"/>
    <w:next w:val="Normal"/>
    <w:uiPriority w:val="39"/>
    <w:semiHidden/>
    <w:unhideWhenUsed/>
    <w:qFormat/>
    <w:rsid w:val="00E32AE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274330">
      <w:bodyDiv w:val="1"/>
      <w:marLeft w:val="0"/>
      <w:marRight w:val="0"/>
      <w:marTop w:val="0"/>
      <w:marBottom w:val="0"/>
      <w:divBdr>
        <w:top w:val="none" w:sz="0" w:space="0" w:color="auto"/>
        <w:left w:val="none" w:sz="0" w:space="0" w:color="auto"/>
        <w:bottom w:val="none" w:sz="0" w:space="0" w:color="auto"/>
        <w:right w:val="none" w:sz="0" w:space="0" w:color="auto"/>
      </w:divBdr>
      <w:divsChild>
        <w:div w:id="1239629965">
          <w:marLeft w:val="720"/>
          <w:marRight w:val="0"/>
          <w:marTop w:val="0"/>
          <w:marBottom w:val="0"/>
          <w:divBdr>
            <w:top w:val="none" w:sz="0" w:space="0" w:color="auto"/>
            <w:left w:val="none" w:sz="0" w:space="0" w:color="auto"/>
            <w:bottom w:val="none" w:sz="0" w:space="0" w:color="auto"/>
            <w:right w:val="none" w:sz="0" w:space="0" w:color="auto"/>
          </w:divBdr>
          <w:divsChild>
            <w:div w:id="2138989877">
              <w:marLeft w:val="0"/>
              <w:marRight w:val="0"/>
              <w:marTop w:val="0"/>
              <w:marBottom w:val="0"/>
              <w:divBdr>
                <w:top w:val="none" w:sz="0" w:space="0" w:color="auto"/>
                <w:left w:val="none" w:sz="0" w:space="0" w:color="auto"/>
                <w:bottom w:val="none" w:sz="0" w:space="0" w:color="auto"/>
                <w:right w:val="none" w:sz="0" w:space="0" w:color="auto"/>
              </w:divBdr>
            </w:div>
          </w:divsChild>
        </w:div>
        <w:div w:id="1146318473">
          <w:marLeft w:val="0"/>
          <w:marRight w:val="0"/>
          <w:marTop w:val="0"/>
          <w:marBottom w:val="0"/>
          <w:divBdr>
            <w:top w:val="none" w:sz="0" w:space="0" w:color="auto"/>
            <w:left w:val="none" w:sz="0" w:space="0" w:color="auto"/>
            <w:bottom w:val="none" w:sz="0" w:space="0" w:color="auto"/>
            <w:right w:val="none" w:sz="0" w:space="0" w:color="auto"/>
          </w:divBdr>
          <w:divsChild>
            <w:div w:id="1732384307">
              <w:marLeft w:val="0"/>
              <w:marRight w:val="0"/>
              <w:marTop w:val="0"/>
              <w:marBottom w:val="0"/>
              <w:divBdr>
                <w:top w:val="none" w:sz="0" w:space="0" w:color="auto"/>
                <w:left w:val="none" w:sz="0" w:space="0" w:color="auto"/>
                <w:bottom w:val="none" w:sz="0" w:space="0" w:color="auto"/>
                <w:right w:val="none" w:sz="0" w:space="0" w:color="auto"/>
              </w:divBdr>
              <w:divsChild>
                <w:div w:id="208150960">
                  <w:marLeft w:val="0"/>
                  <w:marRight w:val="0"/>
                  <w:marTop w:val="0"/>
                  <w:marBottom w:val="0"/>
                  <w:divBdr>
                    <w:top w:val="none" w:sz="0" w:space="0" w:color="auto"/>
                    <w:left w:val="none" w:sz="0" w:space="0" w:color="auto"/>
                    <w:bottom w:val="none" w:sz="0" w:space="0" w:color="auto"/>
                    <w:right w:val="none" w:sz="0" w:space="0" w:color="auto"/>
                  </w:divBdr>
                </w:div>
              </w:divsChild>
            </w:div>
            <w:div w:id="1096899639">
              <w:marLeft w:val="0"/>
              <w:marRight w:val="0"/>
              <w:marTop w:val="0"/>
              <w:marBottom w:val="0"/>
              <w:divBdr>
                <w:top w:val="none" w:sz="0" w:space="0" w:color="auto"/>
                <w:left w:val="none" w:sz="0" w:space="0" w:color="auto"/>
                <w:bottom w:val="none" w:sz="0" w:space="0" w:color="auto"/>
                <w:right w:val="none" w:sz="0" w:space="0" w:color="auto"/>
              </w:divBdr>
              <w:divsChild>
                <w:div w:id="174614010">
                  <w:marLeft w:val="0"/>
                  <w:marRight w:val="0"/>
                  <w:marTop w:val="0"/>
                  <w:marBottom w:val="0"/>
                  <w:divBdr>
                    <w:top w:val="none" w:sz="0" w:space="0" w:color="auto"/>
                    <w:left w:val="none" w:sz="0" w:space="0" w:color="auto"/>
                    <w:bottom w:val="none" w:sz="0" w:space="0" w:color="auto"/>
                    <w:right w:val="none" w:sz="0" w:space="0" w:color="auto"/>
                  </w:divBdr>
                  <w:divsChild>
                    <w:div w:id="107396406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344672372">
          <w:marLeft w:val="0"/>
          <w:marRight w:val="0"/>
          <w:marTop w:val="0"/>
          <w:marBottom w:val="0"/>
          <w:divBdr>
            <w:top w:val="none" w:sz="0" w:space="0" w:color="auto"/>
            <w:left w:val="none" w:sz="0" w:space="0" w:color="auto"/>
            <w:bottom w:val="none" w:sz="0" w:space="0" w:color="auto"/>
            <w:right w:val="none" w:sz="0" w:space="0" w:color="auto"/>
          </w:divBdr>
        </w:div>
        <w:div w:id="1870559198">
          <w:marLeft w:val="720"/>
          <w:marRight w:val="0"/>
          <w:marTop w:val="0"/>
          <w:marBottom w:val="0"/>
          <w:divBdr>
            <w:top w:val="none" w:sz="0" w:space="0" w:color="auto"/>
            <w:left w:val="none" w:sz="0" w:space="0" w:color="auto"/>
            <w:bottom w:val="none" w:sz="0" w:space="0" w:color="auto"/>
            <w:right w:val="none" w:sz="0" w:space="0" w:color="auto"/>
          </w:divBdr>
          <w:divsChild>
            <w:div w:id="87327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cms-age.roberts.edu/moodle/pluginfile.php/435724/mod_forum/attachment/394071/Debate%20Opening%20Statement.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x.doi.org/10.1097/NCQ.0000000000000270" TargetMode="External"/><Relationship Id="rId11" Type="http://schemas.openxmlformats.org/officeDocument/2006/relationships/theme" Target="theme/theme1.xml"/><Relationship Id="rId5" Type="http://schemas.openxmlformats.org/officeDocument/2006/relationships/hyperlink" Target="https://cms-age.roberts.edu/moodle/user/view.php?id=4681&amp;course=6881"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ms-age.roberts.edu/moodle/pluginfile.php/435724/mod_forum/attachment/394071/Debate%20Opening%20Statement.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1027</Words>
  <Characters>5857</Characters>
  <Application>Microsoft Office Word</Application>
  <DocSecurity>0</DocSecurity>
  <Lines>48</Lines>
  <Paragraphs>13</Paragraphs>
  <ScaleCrop>false</ScaleCrop>
  <Company/>
  <LinksUpToDate>false</LinksUpToDate>
  <CharactersWithSpaces>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Massaro_Tammy</dc:creator>
  <cp:keywords/>
  <dc:description/>
  <cp:lastModifiedBy>Massaro_Tammy</cp:lastModifiedBy>
  <cp:revision>1</cp:revision>
  <dcterms:created xsi:type="dcterms:W3CDTF">2021-08-14T09:02:00Z</dcterms:created>
  <dcterms:modified xsi:type="dcterms:W3CDTF">2021-08-14T09:03:00Z</dcterms:modified>
</cp:coreProperties>
</file>